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5BC34" w14:textId="77777777" w:rsidR="00E946F5" w:rsidRDefault="007B3737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360" w:lineRule="auto"/>
        <w:jc w:val="both"/>
        <w:rPr>
          <w:rFonts w:ascii="Xunta Sans" w:hAnsi="Xunta Sans"/>
          <w:b/>
          <w:sz w:val="22"/>
          <w:szCs w:val="22"/>
        </w:rPr>
      </w:pPr>
      <w:bookmarkStart w:id="0" w:name="_GoBack"/>
      <w:bookmarkEnd w:id="0"/>
      <w:r>
        <w:rPr>
          <w:rFonts w:ascii="Xunta Sans" w:hAnsi="Xunta Sans"/>
          <w:b/>
          <w:sz w:val="22"/>
          <w:szCs w:val="22"/>
        </w:rPr>
        <w:t>CORPO FACULTATIVO SUPERIOR DE ADMINISTRACIÓN ESPECIAL DA ADMINISTRACIÓN XERAL DA COMUNIDADE AUTÓNOMA DE GALICIA, ESCALA DE VETERINARIOS (SUBGRUPO A1). DOG núm. 249, do 11 de decembro de 2020</w:t>
      </w:r>
    </w:p>
    <w:p w14:paraId="775222EE" w14:textId="77777777" w:rsidR="00E946F5" w:rsidRDefault="00E946F5">
      <w:pPr>
        <w:pStyle w:val="Standard"/>
        <w:jc w:val="both"/>
        <w:rPr>
          <w:rFonts w:ascii="Xunta Sans" w:hAnsi="Xunta Sans"/>
          <w:sz w:val="22"/>
          <w:szCs w:val="22"/>
        </w:rPr>
      </w:pPr>
    </w:p>
    <w:p w14:paraId="2512F109" w14:textId="77777777" w:rsidR="00E946F5" w:rsidRDefault="00E946F5">
      <w:pPr>
        <w:pStyle w:val="Standard"/>
        <w:jc w:val="both"/>
        <w:rPr>
          <w:rFonts w:ascii="Xunta Sans" w:hAnsi="Xunta Sans"/>
          <w:b/>
          <w:sz w:val="22"/>
          <w:szCs w:val="22"/>
        </w:rPr>
      </w:pPr>
    </w:p>
    <w:p w14:paraId="62B5A163" w14:textId="77777777" w:rsidR="00E946F5" w:rsidRDefault="007B3737">
      <w:pPr>
        <w:pStyle w:val="Standard"/>
        <w:jc w:val="both"/>
        <w:rPr>
          <w:rFonts w:ascii="Xunta Sans" w:hAnsi="Xunta Sans"/>
          <w:b/>
          <w:sz w:val="22"/>
          <w:szCs w:val="22"/>
        </w:rPr>
      </w:pPr>
      <w:r>
        <w:rPr>
          <w:rFonts w:ascii="Xunta Sans" w:hAnsi="Xunta Sans"/>
          <w:b/>
          <w:sz w:val="22"/>
          <w:szCs w:val="22"/>
        </w:rPr>
        <w:t>A) Parte xeral.</w:t>
      </w:r>
    </w:p>
    <w:p w14:paraId="6CFD38DD" w14:textId="77777777" w:rsidR="00E946F5" w:rsidRDefault="00E946F5">
      <w:pPr>
        <w:pStyle w:val="Standard"/>
        <w:jc w:val="both"/>
        <w:rPr>
          <w:rFonts w:ascii="Xunta Sans" w:hAnsi="Xunta Sans"/>
          <w:sz w:val="22"/>
          <w:szCs w:val="22"/>
        </w:rPr>
      </w:pPr>
    </w:p>
    <w:p w14:paraId="497B77B0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1. A Constitución española de 1978: título preliminar, título I artigos 10, 14, 23, capítulo IV e capítulo V e título VIII. </w:t>
      </w:r>
    </w:p>
    <w:p w14:paraId="20AB6917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2. Lei orgánica 1/1981, do 6 de abril, do Estatuto de autonomía para Galicia: título I, título II e título III.</w:t>
      </w:r>
    </w:p>
    <w:p w14:paraId="6AEB5C23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3. Lei 39/2015, do 1 de outubro, do procedemento administrativo común das administracións públicas: título III, título IV capítulo I e capítulo IV e o título V. </w:t>
      </w:r>
    </w:p>
    <w:p w14:paraId="623AA12D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4. Lei 4/2019, do 17 de xullo, da administración dixital de Galicia: título preliminar, título I capítulo I. </w:t>
      </w:r>
    </w:p>
    <w:p w14:paraId="7E461BED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5. Lei 40/2015, do 1 de outubro, de réxime xurídico do sector público: título preliminar capítulos III e IV. </w:t>
      </w:r>
    </w:p>
    <w:p w14:paraId="62AA5878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6. Lei 16/2010, do 17 de decembro, de organización e funcionamento da Administración xeral e do sector público autonómico: título preliminar, título I.</w:t>
      </w:r>
    </w:p>
    <w:p w14:paraId="3C10D9B9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7. Lei 2/2015, do 29 de abril, do emprego público de Galicia: título III, título VI capítulos III e IV e título VIII. </w:t>
      </w:r>
    </w:p>
    <w:p w14:paraId="6D7D57C9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8. Lei orgánica 3/2018, do 5 de decembro, de protección de datos persoais e garantía dos dereitos dixitais: título I, título II, título III e título VIII. </w:t>
      </w:r>
    </w:p>
    <w:p w14:paraId="7C9DA217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9. Decreto lexislativo 2/2015, do 12 de febreiro, polo que se aproba o texto refundido das disposicións legais da Comunidade Autónoma de Galicia en materia de igualdade: título preliminar e título I. E o título I da Lei orgánica 1/2004, do 28 de decembro, de medidas de protección integral contra a violencia de xénero. </w:t>
      </w:r>
    </w:p>
    <w:p w14:paraId="46605819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10. Real decreto lexislativo 1/2013, do 29 de novembro, polo que se aproba o texto re</w:t>
      </w:r>
      <w:r>
        <w:rPr>
          <w:rFonts w:ascii="Xunta Sans" w:hAnsi="Xunta Sans"/>
          <w:sz w:val="22"/>
          <w:szCs w:val="22"/>
        </w:rPr>
        <w:noBreakHyphen/>
        <w:t xml:space="preserve"> fundido da Lei xeral de dereitos das persoas con discapacidade e da súa inclusión social: título preliminar e título I. </w:t>
      </w:r>
    </w:p>
    <w:p w14:paraId="792087C7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11. Lei 1/2016, do 18 de xaneiro, de transparencia e bo goberno: título preliminar e título I. </w:t>
      </w:r>
    </w:p>
    <w:p w14:paraId="7005CF2E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12. Lei 9/2007, do 13 de xaneiro, de subvencións de Galicia. </w:t>
      </w:r>
    </w:p>
    <w:p w14:paraId="29EA1B83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lastRenderedPageBreak/>
        <w:t>13. Lei 9/2017, de contratos do sector público, libros I e II.</w:t>
      </w:r>
    </w:p>
    <w:p w14:paraId="152E378D" w14:textId="77777777" w:rsidR="00E946F5" w:rsidRDefault="00E946F5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</w:p>
    <w:p w14:paraId="2915D03A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b/>
          <w:sz w:val="22"/>
          <w:szCs w:val="22"/>
        </w:rPr>
      </w:pPr>
      <w:r>
        <w:rPr>
          <w:rFonts w:ascii="Xunta Sans" w:hAnsi="Xunta Sans"/>
          <w:b/>
          <w:sz w:val="22"/>
          <w:szCs w:val="22"/>
        </w:rPr>
        <w:t>B) Parte específica.</w:t>
      </w:r>
    </w:p>
    <w:p w14:paraId="44E1F6CB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1. A Lei 14/1986, do 25 de abril, xeral de sanidade: dereito á protección da saúde, principios xerais e actuacións sanitarias do sistema de saúde. Intervención pública en relación coa saúde individual e colectiva. Infraccións e sancións. Competencia das administracións públicas. A Lei 17/2011, do 5 de xullo, de seguridade alimentaria e nutrición: disposicións xerais. Medidas de prevención e seguridade dos alimentos e pensos. Control oficial e coordinación administrativa. Instrumentos de seguridade alimentaria. Laboratorios. Publicidade de alimentos. Potestade sancionadora. Infraccións e sancións. Real decreto 1945/1983, de 22 de xuño, polo que se regulan as infraccións e sancións en materia de defensa do consumidor e da produción agro-alimentaria: a toma de mostras.</w:t>
      </w:r>
    </w:p>
    <w:p w14:paraId="2BC5ACA7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2. A Lei 8/2008, de saúde de Galicia. Obxecto, alcance e definicións. Concepto de autoridade sanitaria. Intervencións públicas sobre actividades, centros e bens. Inspección sanitaria. Infraccións e sancións. Lei 33/2011, xeral de saúde pública: título preliminar e título I. </w:t>
      </w:r>
    </w:p>
    <w:p w14:paraId="597D5384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3. O Regulamento (CE) nº 178/2002 polo que se establecen os principios e os requisitos xerais da lexislación alimentaria, se crea a Autoridade Europea de Seguridade Alimentaria e se fixan procedementos relativos á seguridade alimentaria. O Regulamento (UE) nº 931/2011, relativo aos requisitos en materia de </w:t>
      </w:r>
      <w:proofErr w:type="spellStart"/>
      <w:r>
        <w:rPr>
          <w:rFonts w:ascii="Xunta Sans" w:hAnsi="Xunta Sans"/>
          <w:sz w:val="22"/>
          <w:szCs w:val="22"/>
        </w:rPr>
        <w:t>rastrexabilidade</w:t>
      </w:r>
      <w:proofErr w:type="spellEnd"/>
      <w:r>
        <w:rPr>
          <w:rFonts w:ascii="Xunta Sans" w:hAnsi="Xunta Sans"/>
          <w:sz w:val="22"/>
          <w:szCs w:val="22"/>
        </w:rPr>
        <w:t xml:space="preserve"> establecidos polo Regulamento (CE) nº 178/2002. </w:t>
      </w:r>
    </w:p>
    <w:p w14:paraId="37F9C86B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4. O Regulamento (CE) nº 852/2004, relativo á hixiene dos produtos alimenticios. Os sistemas de autocontrol baseados nos principios da análise de perigos e puntos de control crítico: directrices do </w:t>
      </w:r>
      <w:proofErr w:type="spellStart"/>
      <w:r>
        <w:rPr>
          <w:rFonts w:ascii="Xunta Sans" w:hAnsi="Xunta Sans"/>
          <w:sz w:val="22"/>
          <w:szCs w:val="22"/>
        </w:rPr>
        <w:t>Codex</w:t>
      </w:r>
      <w:proofErr w:type="spellEnd"/>
      <w:r>
        <w:rPr>
          <w:rFonts w:ascii="Xunta Sans" w:hAnsi="Xunta Sans"/>
          <w:sz w:val="22"/>
          <w:szCs w:val="22"/>
        </w:rPr>
        <w:t xml:space="preserve"> </w:t>
      </w:r>
      <w:proofErr w:type="spellStart"/>
      <w:r>
        <w:rPr>
          <w:rFonts w:ascii="Xunta Sans" w:hAnsi="Xunta Sans"/>
          <w:sz w:val="22"/>
          <w:szCs w:val="22"/>
        </w:rPr>
        <w:t>Alimentarius</w:t>
      </w:r>
      <w:proofErr w:type="spellEnd"/>
      <w:r>
        <w:rPr>
          <w:rFonts w:ascii="Xunta Sans" w:hAnsi="Xunta Sans"/>
          <w:sz w:val="22"/>
          <w:szCs w:val="22"/>
        </w:rPr>
        <w:t xml:space="preserve">. Comunicación da Comisión Europea sobre a aplicación de sistemas de xestión da seguridade alimentaria que recollen programas de </w:t>
      </w:r>
      <w:proofErr w:type="spellStart"/>
      <w:r>
        <w:rPr>
          <w:rFonts w:ascii="Xunta Sans" w:hAnsi="Xunta Sans"/>
          <w:sz w:val="22"/>
          <w:szCs w:val="22"/>
        </w:rPr>
        <w:t>prerrequisitos</w:t>
      </w:r>
      <w:proofErr w:type="spellEnd"/>
      <w:r>
        <w:rPr>
          <w:rFonts w:ascii="Xunta Sans" w:hAnsi="Xunta Sans"/>
          <w:sz w:val="22"/>
          <w:szCs w:val="22"/>
        </w:rPr>
        <w:t xml:space="preserve"> (PPR) e procedementos baseados nos principios do APPCC, incluída a </w:t>
      </w:r>
      <w:proofErr w:type="spellStart"/>
      <w:r>
        <w:rPr>
          <w:rFonts w:ascii="Xunta Sans" w:hAnsi="Xunta Sans"/>
          <w:sz w:val="22"/>
          <w:szCs w:val="22"/>
        </w:rPr>
        <w:t>facilitación</w:t>
      </w:r>
      <w:proofErr w:type="spellEnd"/>
      <w:r>
        <w:rPr>
          <w:rFonts w:ascii="Xunta Sans" w:hAnsi="Xunta Sans"/>
          <w:sz w:val="22"/>
          <w:szCs w:val="22"/>
        </w:rPr>
        <w:t>/flexibilidade respecto da súa aplicación en determinadas empresas alimentarias.</w:t>
      </w:r>
    </w:p>
    <w:p w14:paraId="048A8612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5. O Regulamento (CE) nº 853/2004 polo que se establecen normas específicas de hixiene dos alimentos de orixe animal. </w:t>
      </w:r>
    </w:p>
    <w:p w14:paraId="514601CE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lastRenderedPageBreak/>
        <w:t xml:space="preserve">6. O Decreto 399/1996: programas de control sanitario de moluscos bivalvos vivos en Galicia, control sanitario de </w:t>
      </w:r>
      <w:proofErr w:type="spellStart"/>
      <w:r>
        <w:rPr>
          <w:rFonts w:ascii="Xunta Sans" w:hAnsi="Xunta Sans"/>
          <w:sz w:val="22"/>
          <w:szCs w:val="22"/>
        </w:rPr>
        <w:t>biotoxinas</w:t>
      </w:r>
      <w:proofErr w:type="spellEnd"/>
      <w:r>
        <w:rPr>
          <w:rFonts w:ascii="Xunta Sans" w:hAnsi="Xunta Sans"/>
          <w:sz w:val="22"/>
          <w:szCs w:val="22"/>
        </w:rPr>
        <w:t xml:space="preserve"> e </w:t>
      </w:r>
      <w:proofErr w:type="spellStart"/>
      <w:r>
        <w:rPr>
          <w:rFonts w:ascii="Xunta Sans" w:hAnsi="Xunta Sans"/>
          <w:sz w:val="22"/>
          <w:szCs w:val="22"/>
        </w:rPr>
        <w:t>microbiolóxico</w:t>
      </w:r>
      <w:proofErr w:type="spellEnd"/>
      <w:r>
        <w:rPr>
          <w:rFonts w:ascii="Xunta Sans" w:hAnsi="Xunta Sans"/>
          <w:sz w:val="22"/>
          <w:szCs w:val="22"/>
        </w:rPr>
        <w:t xml:space="preserve"> nos centros de expedición, depuración, transformación e, en xeral, de manipulación de moluscos bivalvos vivos. Orde do 15 de xaneiro de 2002 pola que se regula a extracción e comercialización de vieira (</w:t>
      </w:r>
      <w:proofErr w:type="spellStart"/>
      <w:r>
        <w:rPr>
          <w:rFonts w:ascii="Xunta Sans" w:hAnsi="Xunta Sans"/>
          <w:sz w:val="22"/>
          <w:szCs w:val="22"/>
        </w:rPr>
        <w:t>Pecten</w:t>
      </w:r>
      <w:proofErr w:type="spellEnd"/>
      <w:r>
        <w:rPr>
          <w:rFonts w:ascii="Xunta Sans" w:hAnsi="Xunta Sans"/>
          <w:sz w:val="22"/>
          <w:szCs w:val="22"/>
        </w:rPr>
        <w:t xml:space="preserve"> </w:t>
      </w:r>
      <w:proofErr w:type="spellStart"/>
      <w:r>
        <w:rPr>
          <w:rFonts w:ascii="Xunta Sans" w:hAnsi="Xunta Sans"/>
          <w:sz w:val="22"/>
          <w:szCs w:val="22"/>
        </w:rPr>
        <w:t>maximus</w:t>
      </w:r>
      <w:proofErr w:type="spellEnd"/>
      <w:r>
        <w:rPr>
          <w:rFonts w:ascii="Xunta Sans" w:hAnsi="Xunta Sans"/>
          <w:sz w:val="22"/>
          <w:szCs w:val="22"/>
        </w:rPr>
        <w:t>).</w:t>
      </w:r>
    </w:p>
    <w:p w14:paraId="05C02E8E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7. </w:t>
      </w:r>
      <w:r w:rsidRPr="006A4706">
        <w:rPr>
          <w:rFonts w:ascii="Xunta Sans" w:hAnsi="Xunta Sans"/>
          <w:sz w:val="22"/>
          <w:szCs w:val="22"/>
        </w:rPr>
        <w:t xml:space="preserve">O </w:t>
      </w:r>
      <w:r w:rsidRPr="002D48C4">
        <w:rPr>
          <w:rFonts w:ascii="Xunta Sans" w:hAnsi="Xunta Sans"/>
          <w:sz w:val="22"/>
          <w:szCs w:val="22"/>
        </w:rPr>
        <w:t xml:space="preserve">Real Decreto 1086/2020, de 9 de </w:t>
      </w:r>
      <w:proofErr w:type="spellStart"/>
      <w:r w:rsidRPr="002D48C4">
        <w:rPr>
          <w:rFonts w:ascii="Xunta Sans" w:hAnsi="Xunta Sans"/>
          <w:sz w:val="22"/>
          <w:szCs w:val="22"/>
        </w:rPr>
        <w:t>diciembre</w:t>
      </w:r>
      <w:proofErr w:type="spellEnd"/>
      <w:r w:rsidRPr="002D48C4">
        <w:rPr>
          <w:rFonts w:ascii="Xunta Sans" w:hAnsi="Xunta Sans"/>
          <w:sz w:val="22"/>
          <w:szCs w:val="22"/>
        </w:rPr>
        <w:t xml:space="preserve">, por el que se regulan y flexibilizan determinadas condiciones de aplicación de las </w:t>
      </w:r>
      <w:proofErr w:type="spellStart"/>
      <w:r w:rsidRPr="002D48C4">
        <w:rPr>
          <w:rFonts w:ascii="Xunta Sans" w:hAnsi="Xunta Sans"/>
          <w:sz w:val="22"/>
          <w:szCs w:val="22"/>
        </w:rPr>
        <w:t>disposiciones</w:t>
      </w:r>
      <w:proofErr w:type="spellEnd"/>
      <w:r w:rsidRPr="002D48C4">
        <w:rPr>
          <w:rFonts w:ascii="Xunta Sans" w:hAnsi="Xunta Sans"/>
          <w:sz w:val="22"/>
          <w:szCs w:val="22"/>
        </w:rPr>
        <w:t xml:space="preserve"> de la Unión Europea en materia de </w:t>
      </w:r>
      <w:proofErr w:type="spellStart"/>
      <w:r w:rsidRPr="002D48C4">
        <w:rPr>
          <w:rFonts w:ascii="Xunta Sans" w:hAnsi="Xunta Sans"/>
          <w:sz w:val="22"/>
          <w:szCs w:val="22"/>
        </w:rPr>
        <w:t>higiene</w:t>
      </w:r>
      <w:proofErr w:type="spellEnd"/>
      <w:r w:rsidRPr="002D48C4">
        <w:rPr>
          <w:rFonts w:ascii="Xunta Sans" w:hAnsi="Xunta Sans"/>
          <w:sz w:val="22"/>
          <w:szCs w:val="22"/>
        </w:rPr>
        <w:t xml:space="preserve"> de la </w:t>
      </w:r>
      <w:proofErr w:type="spellStart"/>
      <w:r w:rsidRPr="002D48C4">
        <w:rPr>
          <w:rFonts w:ascii="Xunta Sans" w:hAnsi="Xunta Sans"/>
          <w:sz w:val="22"/>
          <w:szCs w:val="22"/>
        </w:rPr>
        <w:t>producción</w:t>
      </w:r>
      <w:proofErr w:type="spellEnd"/>
      <w:r w:rsidRPr="002D48C4">
        <w:rPr>
          <w:rFonts w:ascii="Xunta Sans" w:hAnsi="Xunta Sans"/>
          <w:sz w:val="22"/>
          <w:szCs w:val="22"/>
        </w:rPr>
        <w:t xml:space="preserve"> y comercialización de los </w:t>
      </w:r>
      <w:proofErr w:type="spellStart"/>
      <w:r w:rsidRPr="002D48C4">
        <w:rPr>
          <w:rFonts w:ascii="Xunta Sans" w:hAnsi="Xunta Sans"/>
          <w:sz w:val="22"/>
          <w:szCs w:val="22"/>
        </w:rPr>
        <w:t>productos</w:t>
      </w:r>
      <w:proofErr w:type="spellEnd"/>
      <w:r w:rsidRPr="002D48C4">
        <w:rPr>
          <w:rFonts w:ascii="Xunta Sans" w:hAnsi="Xunta Sans"/>
          <w:sz w:val="22"/>
          <w:szCs w:val="22"/>
        </w:rPr>
        <w:t xml:space="preserve"> alimenticios y se regulan actividades </w:t>
      </w:r>
      <w:proofErr w:type="spellStart"/>
      <w:r w:rsidRPr="002D48C4">
        <w:rPr>
          <w:rFonts w:ascii="Xunta Sans" w:hAnsi="Xunta Sans"/>
          <w:sz w:val="22"/>
          <w:szCs w:val="22"/>
        </w:rPr>
        <w:t>excluidas</w:t>
      </w:r>
      <w:proofErr w:type="spellEnd"/>
      <w:r w:rsidRPr="002D48C4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2D48C4">
        <w:rPr>
          <w:rFonts w:ascii="Xunta Sans" w:hAnsi="Xunta Sans"/>
          <w:sz w:val="22"/>
          <w:szCs w:val="22"/>
        </w:rPr>
        <w:t>su</w:t>
      </w:r>
      <w:proofErr w:type="spellEnd"/>
      <w:r w:rsidRPr="002D48C4">
        <w:rPr>
          <w:rFonts w:ascii="Xunta Sans" w:hAnsi="Xunta Sans"/>
          <w:sz w:val="22"/>
          <w:szCs w:val="22"/>
        </w:rPr>
        <w:t xml:space="preserve"> ámbito de aplicación</w:t>
      </w:r>
      <w:r>
        <w:rPr>
          <w:rFonts w:ascii="Xunta Sans" w:hAnsi="Xunta Sans"/>
          <w:sz w:val="22"/>
          <w:szCs w:val="22"/>
        </w:rPr>
        <w:t xml:space="preserve">. Real decreto 1376/2003, do 7 de novembro, polo que se establecen as condicións sanitarias de produción, almacenamento e comercialización das carnes frescas e o seus derivados nos establecementos de comercio polo miúdo. </w:t>
      </w:r>
    </w:p>
    <w:p w14:paraId="38C6B496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8. O Regulamento (UE) 2017/625, relativo aos controis e outras actividades oficiais realizadas para garantir a aplicación da lexislación sobre alimentos e pensos e das normas sobre saúde e benestar dos animais, sanidade vexetal e produtos </w:t>
      </w:r>
      <w:proofErr w:type="spellStart"/>
      <w:r>
        <w:rPr>
          <w:rFonts w:ascii="Xunta Sans" w:hAnsi="Xunta Sans"/>
          <w:sz w:val="22"/>
          <w:szCs w:val="22"/>
        </w:rPr>
        <w:t>fitosanitarios</w:t>
      </w:r>
      <w:proofErr w:type="spellEnd"/>
      <w:r>
        <w:rPr>
          <w:rFonts w:ascii="Xunta Sans" w:hAnsi="Xunta Sans"/>
          <w:sz w:val="22"/>
          <w:szCs w:val="22"/>
        </w:rPr>
        <w:t xml:space="preserve">: títulos I ao V, o capítulo I do título VI e o anexo III. </w:t>
      </w:r>
    </w:p>
    <w:p w14:paraId="3A0A9E68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9. O Regulamento (CE) nº 2073/2005, relativo aos criterios microbiolóxicos aplicables aos produtos alimenticios: agás os anexos. O Regulamento de execución 2015/1375 polo que se establecen normas específicas para os controis oficiais da presenza de triquinas na carne: obrigas das autoridades competentes e dos operadores de empresas alimentarias. </w:t>
      </w:r>
    </w:p>
    <w:p w14:paraId="446BD34C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10. O Real decreto 3484/2000 polo que se establecen as normas de hixiene para a elaboración, distribución e comercio de comidas preparadas.</w:t>
      </w:r>
    </w:p>
    <w:p w14:paraId="7795EA71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11. O Regulamento 1881/2006 polo que se fixa o contido máximo de determinados contaminantes nos produtos alimenticios: agás os anexos. Os métodos de mostraxe e análises para o control de contaminantes nos produtos alimenticios establecidos nos regulamentos 401/2006, 1882/2006, 333/2007 e 2017/644: agás os anexos. </w:t>
      </w:r>
    </w:p>
    <w:p w14:paraId="4D4FD71A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12. O Rexistro Xeral Sanitario de Empresas Alimentarias e Alimentos. O Rexistro Galego Sanitario de Empresas e Establecementos Alimentarios. </w:t>
      </w:r>
    </w:p>
    <w:p w14:paraId="0AFBE993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13. O Regulamento (CE) nº 1333/2008, sobre aditivos alimentarios, sen incluír os anexos excepto o anexo I. </w:t>
      </w:r>
    </w:p>
    <w:p w14:paraId="7D3C59CE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lastRenderedPageBreak/>
        <w:t xml:space="preserve">14. Materiais en contacto con alimentos: o Regulamento 1935/2004, sobre os materiais e obxectos destinados a entrar en contacto con alimentos. </w:t>
      </w:r>
    </w:p>
    <w:p w14:paraId="0F4E36E4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15. O Real decreto 140/2003, do 7 de febreiro, polo que se establecen os criterios sanitarios da calidade da auga de consumo humano: agás os anexos. O Real decreto 1798/2010 polo que se regula A explotación e comercialización de augas minerais naturais e augas de manancial envasadas para consumo humano: sen incluír os anexos excepto os anexos III ao VII. O Real decreto 1799/2010 polo que se regula o proceso de elaboración e comercialización de augas preparadas envasadas para o consumo humano: agás os anexos.</w:t>
      </w:r>
    </w:p>
    <w:p w14:paraId="469C7077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16. O Regulamento 589/2008 polo que se establecen as disposicións de aplicación das normas de comercialización dos ovos: sen incluír os anexos excepto o anexo II. </w:t>
      </w:r>
    </w:p>
    <w:p w14:paraId="7A936270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17. A Lei 8/2003, de sanidade animal: disposicións xerais. Prevención das enfermidades dos animais. Loita, control e erradicación de enfermidades dos animais. Laboratorios. Ordenación sanitaria do mercado dos animais. Inspeccións, infraccións e sancións. </w:t>
      </w:r>
    </w:p>
    <w:p w14:paraId="03346165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18. A normativa estatal pola que establece e regula o Rexistro xeral de explotacións gandeiras (Rega). A normativa estatal pola que se establece e regula o Rexistro xeral de movementos de gando (Remo) e o Rexistro xeral de identificación individual dos animais (RIIA). </w:t>
      </w:r>
    </w:p>
    <w:p w14:paraId="0B89192A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19. A normativa estatal pola que se establecen normas básicas de ordenación das explotacións porcinas intensivas. A normativa estatal pola que se establecen normas básicas de ordenación de gando porcino extensivo. </w:t>
      </w:r>
    </w:p>
    <w:p w14:paraId="25971FF3" w14:textId="32C66FDF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20. A normativa estatal </w:t>
      </w:r>
      <w:r w:rsidR="006A4706">
        <w:rPr>
          <w:rFonts w:ascii="Xunta Sans" w:hAnsi="Xunta Sans"/>
          <w:sz w:val="22"/>
          <w:szCs w:val="22"/>
        </w:rPr>
        <w:t>pola que se establecen as normas básicas de ordenación das granxas avícolas.</w:t>
      </w:r>
      <w:r>
        <w:rPr>
          <w:rFonts w:ascii="Xunta Sans" w:hAnsi="Xunta Sans"/>
          <w:sz w:val="22"/>
          <w:szCs w:val="22"/>
        </w:rPr>
        <w:t xml:space="preserve"> A normativa estatal pola que se establece e regula o Rexistro xeral de establecementos de galiñas poñedoras. </w:t>
      </w:r>
    </w:p>
    <w:p w14:paraId="31B186E2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21. A normativa estatal pola que se establecen normas de ordenación das explotacións </w:t>
      </w:r>
      <w:proofErr w:type="spellStart"/>
      <w:r>
        <w:rPr>
          <w:rFonts w:ascii="Xunta Sans" w:hAnsi="Xunta Sans"/>
          <w:sz w:val="22"/>
          <w:szCs w:val="22"/>
        </w:rPr>
        <w:t>cunícolas</w:t>
      </w:r>
      <w:proofErr w:type="spellEnd"/>
      <w:r>
        <w:rPr>
          <w:rFonts w:ascii="Xunta Sans" w:hAnsi="Xunta Sans"/>
          <w:sz w:val="22"/>
          <w:szCs w:val="22"/>
        </w:rPr>
        <w:t>. A normativa estatal pola que se establecen normas de ordenación das explotacións apícolas.</w:t>
      </w:r>
    </w:p>
    <w:p w14:paraId="02905FFD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22. A normativa estatal pola que se regula a ordenación zootécnica, sanitaria e de benestar animal das explotacións equinas e se establece o plan sanitario equino. </w:t>
      </w:r>
    </w:p>
    <w:p w14:paraId="77BF1A80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23. A normativa estatal pola que se establece un sistema de identificación e rexistro dos animais da especie bovina. A normativa estatal pola que se establece un sistema de identificación e rexistro dos animais das especies ovina e cabrúa. </w:t>
      </w:r>
    </w:p>
    <w:p w14:paraId="7968A1CA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lastRenderedPageBreak/>
        <w:t>24. A normativa estatal pola que se establece un sistema de identificación e rexistro dos animais da especie porcina. A normativa estatal pola que se regula o sistema de identificación e rexistro dos animais da especie equina.</w:t>
      </w:r>
    </w:p>
    <w:p w14:paraId="3E13B04E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25. A normativa estatal pola que se establece a lista das enfermidades dos animais de declaración obrigatoria e se regula a súa notificación. A normativa estatal pola que se regulan os programas nacionais de erradicación de enfermidades dos animais. </w:t>
      </w:r>
    </w:p>
    <w:p w14:paraId="145F65CC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26. A normativa estatal sobre a vixilancia das zoonoses e os axentes </w:t>
      </w:r>
      <w:proofErr w:type="spellStart"/>
      <w:r>
        <w:rPr>
          <w:rFonts w:ascii="Xunta Sans" w:hAnsi="Xunta Sans"/>
          <w:sz w:val="22"/>
          <w:szCs w:val="22"/>
        </w:rPr>
        <w:t>zoonóticos</w:t>
      </w:r>
      <w:proofErr w:type="spellEnd"/>
      <w:r>
        <w:rPr>
          <w:rFonts w:ascii="Xunta Sans" w:hAnsi="Xunta Sans"/>
          <w:sz w:val="22"/>
          <w:szCs w:val="22"/>
        </w:rPr>
        <w:t>: dis</w:t>
      </w:r>
      <w:r>
        <w:rPr>
          <w:rFonts w:ascii="Xunta Sans" w:hAnsi="Xunta Sans"/>
          <w:sz w:val="22"/>
          <w:szCs w:val="22"/>
        </w:rPr>
        <w:noBreakHyphen/>
        <w:t xml:space="preserve"> posicións xerais. Vixilancia das zoonoses e dos axentes </w:t>
      </w:r>
      <w:proofErr w:type="spellStart"/>
      <w:r>
        <w:rPr>
          <w:rFonts w:ascii="Xunta Sans" w:hAnsi="Xunta Sans"/>
          <w:sz w:val="22"/>
          <w:szCs w:val="22"/>
        </w:rPr>
        <w:t>zoonóticos</w:t>
      </w:r>
      <w:proofErr w:type="spellEnd"/>
      <w:r>
        <w:rPr>
          <w:rFonts w:ascii="Xunta Sans" w:hAnsi="Xunta Sans"/>
          <w:sz w:val="22"/>
          <w:szCs w:val="22"/>
        </w:rPr>
        <w:t xml:space="preserve">. Resistencia aos </w:t>
      </w:r>
      <w:proofErr w:type="spellStart"/>
      <w:r>
        <w:rPr>
          <w:rFonts w:ascii="Xunta Sans" w:hAnsi="Xunta Sans"/>
          <w:sz w:val="22"/>
          <w:szCs w:val="22"/>
        </w:rPr>
        <w:t>antimicrobianos</w:t>
      </w:r>
      <w:proofErr w:type="spellEnd"/>
      <w:r>
        <w:rPr>
          <w:rFonts w:ascii="Xunta Sans" w:hAnsi="Xunta Sans"/>
          <w:sz w:val="22"/>
          <w:szCs w:val="22"/>
        </w:rPr>
        <w:t xml:space="preserve">. Brotes de zoonoses. Zoonoses e axentes </w:t>
      </w:r>
      <w:proofErr w:type="spellStart"/>
      <w:r>
        <w:rPr>
          <w:rFonts w:ascii="Xunta Sans" w:hAnsi="Xunta Sans"/>
          <w:sz w:val="22"/>
          <w:szCs w:val="22"/>
        </w:rPr>
        <w:t>zoonóticos</w:t>
      </w:r>
      <w:proofErr w:type="spellEnd"/>
      <w:r>
        <w:rPr>
          <w:rFonts w:ascii="Xunta Sans" w:hAnsi="Xunta Sans"/>
          <w:sz w:val="22"/>
          <w:szCs w:val="22"/>
        </w:rPr>
        <w:t xml:space="preserve"> que deben ser obxecto de vixilancia. O Regulamento (CE) nº 2160/2003 sobre o control da salmonela e outros axentes </w:t>
      </w:r>
      <w:proofErr w:type="spellStart"/>
      <w:r>
        <w:rPr>
          <w:rFonts w:ascii="Xunta Sans" w:hAnsi="Xunta Sans"/>
          <w:sz w:val="22"/>
          <w:szCs w:val="22"/>
        </w:rPr>
        <w:t>zoonóticos</w:t>
      </w:r>
      <w:proofErr w:type="spellEnd"/>
      <w:r>
        <w:rPr>
          <w:rFonts w:ascii="Xunta Sans" w:hAnsi="Xunta Sans"/>
          <w:sz w:val="22"/>
          <w:szCs w:val="22"/>
        </w:rPr>
        <w:t xml:space="preserve"> específicos transmitidos polos alimentos: disposicións introdutorias. Obxectivos comunitarios. Programas de control. Zoonoses e axentes </w:t>
      </w:r>
      <w:proofErr w:type="spellStart"/>
      <w:r>
        <w:rPr>
          <w:rFonts w:ascii="Xunta Sans" w:hAnsi="Xunta Sans"/>
          <w:sz w:val="22"/>
          <w:szCs w:val="22"/>
        </w:rPr>
        <w:t>zoonóticos</w:t>
      </w:r>
      <w:proofErr w:type="spellEnd"/>
      <w:r>
        <w:rPr>
          <w:rFonts w:ascii="Xunta Sans" w:hAnsi="Xunta Sans"/>
          <w:sz w:val="22"/>
          <w:szCs w:val="22"/>
        </w:rPr>
        <w:t xml:space="preserve"> con respecto aos cales se fixarán obxectivos comunitarios de redución da </w:t>
      </w:r>
      <w:proofErr w:type="spellStart"/>
      <w:r>
        <w:rPr>
          <w:rFonts w:ascii="Xunta Sans" w:hAnsi="Xunta Sans"/>
          <w:sz w:val="22"/>
          <w:szCs w:val="22"/>
        </w:rPr>
        <w:t>prevalencia</w:t>
      </w:r>
      <w:proofErr w:type="spellEnd"/>
      <w:r>
        <w:rPr>
          <w:rFonts w:ascii="Xunta Sans" w:hAnsi="Xunta Sans"/>
          <w:sz w:val="22"/>
          <w:szCs w:val="22"/>
        </w:rPr>
        <w:t xml:space="preserve">. Control das zoonoses e dos axentes </w:t>
      </w:r>
      <w:proofErr w:type="spellStart"/>
      <w:r>
        <w:rPr>
          <w:rFonts w:ascii="Xunta Sans" w:hAnsi="Xunta Sans"/>
          <w:sz w:val="22"/>
          <w:szCs w:val="22"/>
        </w:rPr>
        <w:t>zoonóticos</w:t>
      </w:r>
      <w:proofErr w:type="spellEnd"/>
      <w:r>
        <w:rPr>
          <w:rFonts w:ascii="Xunta Sans" w:hAnsi="Xunta Sans"/>
          <w:sz w:val="22"/>
          <w:szCs w:val="22"/>
        </w:rPr>
        <w:t xml:space="preserve"> mencionados. </w:t>
      </w:r>
    </w:p>
    <w:p w14:paraId="2AD10533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27. O Regulamento (CE) nº 999/2001 polo que se establecen disposicións para a prevención, o control e a erradicación de determinadas </w:t>
      </w:r>
      <w:proofErr w:type="spellStart"/>
      <w:r>
        <w:rPr>
          <w:rFonts w:ascii="Xunta Sans" w:hAnsi="Xunta Sans"/>
          <w:sz w:val="22"/>
          <w:szCs w:val="22"/>
        </w:rPr>
        <w:t>encefalopatías</w:t>
      </w:r>
      <w:proofErr w:type="spellEnd"/>
      <w:r>
        <w:rPr>
          <w:rFonts w:ascii="Xunta Sans" w:hAnsi="Xunta Sans"/>
          <w:sz w:val="22"/>
          <w:szCs w:val="22"/>
        </w:rPr>
        <w:t xml:space="preserve"> esponxiformes transmisibles: disposicións xerais. Determinación da cualificación sanitaria respecto da EEB. Prevención das EET. Control e erradicación das EET. </w:t>
      </w:r>
    </w:p>
    <w:p w14:paraId="2FC130F2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28. A normativa estatal pola que se establecen as bases do Plan de vixilancia sanitaria do gando porcino. A normativa estatal pola que se establecen as bases do programa coordinado de loita, control e erradicación da enfermidade de </w:t>
      </w:r>
      <w:proofErr w:type="spellStart"/>
      <w:r>
        <w:rPr>
          <w:rFonts w:ascii="Xunta Sans" w:hAnsi="Xunta Sans"/>
          <w:sz w:val="22"/>
          <w:szCs w:val="22"/>
        </w:rPr>
        <w:t>Aujeszky</w:t>
      </w:r>
      <w:proofErr w:type="spellEnd"/>
      <w:r>
        <w:rPr>
          <w:rFonts w:ascii="Xunta Sans" w:hAnsi="Xunta Sans"/>
          <w:sz w:val="22"/>
          <w:szCs w:val="22"/>
        </w:rPr>
        <w:t xml:space="preserve">. </w:t>
      </w:r>
    </w:p>
    <w:p w14:paraId="217F8F54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29. A normativa estatal sobre normas sanitarias para o intercambio </w:t>
      </w:r>
      <w:proofErr w:type="spellStart"/>
      <w:r>
        <w:rPr>
          <w:rFonts w:ascii="Xunta Sans" w:hAnsi="Xunta Sans"/>
          <w:sz w:val="22"/>
          <w:szCs w:val="22"/>
        </w:rPr>
        <w:t>intracomunitario</w:t>
      </w:r>
      <w:proofErr w:type="spellEnd"/>
      <w:r>
        <w:rPr>
          <w:rFonts w:ascii="Xunta Sans" w:hAnsi="Xunta Sans"/>
          <w:sz w:val="22"/>
          <w:szCs w:val="22"/>
        </w:rPr>
        <w:t xml:space="preserve"> de animais das especies bovina e porcina. </w:t>
      </w:r>
    </w:p>
    <w:p w14:paraId="35AA5412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30. A normativa estatal pola que se establecen as normas de policía sanitaria que regulan os intercambios </w:t>
      </w:r>
      <w:proofErr w:type="spellStart"/>
      <w:r>
        <w:rPr>
          <w:rFonts w:ascii="Xunta Sans" w:hAnsi="Xunta Sans"/>
          <w:sz w:val="22"/>
          <w:szCs w:val="22"/>
        </w:rPr>
        <w:t>intracomunitarios</w:t>
      </w:r>
      <w:proofErr w:type="spellEnd"/>
      <w:r>
        <w:rPr>
          <w:rFonts w:ascii="Xunta Sans" w:hAnsi="Xunta Sans"/>
          <w:sz w:val="22"/>
          <w:szCs w:val="22"/>
        </w:rPr>
        <w:t xml:space="preserve"> de animais das especies ovina e cabrúa. A normativa estatal pola que se establecen as condicións de sanidade animal aplicables aos intercambios </w:t>
      </w:r>
      <w:proofErr w:type="spellStart"/>
      <w:r>
        <w:rPr>
          <w:rFonts w:ascii="Xunta Sans" w:hAnsi="Xunta Sans"/>
          <w:sz w:val="22"/>
          <w:szCs w:val="22"/>
        </w:rPr>
        <w:t>intracomunitarios</w:t>
      </w:r>
      <w:proofErr w:type="spellEnd"/>
      <w:r>
        <w:rPr>
          <w:rFonts w:ascii="Xunta Sans" w:hAnsi="Xunta Sans"/>
          <w:sz w:val="22"/>
          <w:szCs w:val="22"/>
        </w:rPr>
        <w:t xml:space="preserve"> de aves de curral e ovos para incubar. </w:t>
      </w:r>
    </w:p>
    <w:p w14:paraId="6268061C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31. O Regulamento (UE) 2019/6 do Parlamento Europeo e do Consello, do 11 de decembro de 2018, sobre medicamentos veterinarios: obxecto, ámbito de aplicación e definicións e subministración e uso. </w:t>
      </w:r>
    </w:p>
    <w:p w14:paraId="4BBF5CA1" w14:textId="01BE99A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lastRenderedPageBreak/>
        <w:t xml:space="preserve">32. </w:t>
      </w:r>
      <w:r w:rsidR="006A4706">
        <w:rPr>
          <w:rFonts w:ascii="Xunta Sans" w:hAnsi="Xunta Sans"/>
          <w:sz w:val="22"/>
          <w:szCs w:val="22"/>
        </w:rPr>
        <w:t xml:space="preserve">A normativa pola que se establecen as medidas de control </w:t>
      </w:r>
      <w:r>
        <w:rPr>
          <w:rFonts w:ascii="Xunta Sans" w:hAnsi="Xunta Sans"/>
          <w:sz w:val="22"/>
          <w:szCs w:val="22"/>
        </w:rPr>
        <w:t xml:space="preserve">aplicables a </w:t>
      </w:r>
      <w:r w:rsidR="006A4706">
        <w:rPr>
          <w:rFonts w:ascii="Xunta Sans" w:hAnsi="Xunta Sans"/>
          <w:sz w:val="22"/>
          <w:szCs w:val="22"/>
        </w:rPr>
        <w:t>determinadas</w:t>
      </w:r>
      <w:r>
        <w:rPr>
          <w:rFonts w:ascii="Xunta Sans" w:hAnsi="Xunta Sans"/>
          <w:sz w:val="22"/>
          <w:szCs w:val="22"/>
        </w:rPr>
        <w:t xml:space="preserve"> substancias e os seus residuos nos animais vivos e os seus produtos. </w:t>
      </w:r>
      <w:r w:rsidR="006A4706">
        <w:rPr>
          <w:rFonts w:ascii="Xunta Sans" w:hAnsi="Xunta Sans"/>
          <w:sz w:val="22"/>
          <w:szCs w:val="22"/>
        </w:rPr>
        <w:t>A normativa estatal pola que se prohibe utilizar</w:t>
      </w:r>
      <w:r>
        <w:rPr>
          <w:rFonts w:ascii="Xunta Sans" w:hAnsi="Xunta Sans"/>
          <w:sz w:val="22"/>
          <w:szCs w:val="22"/>
        </w:rPr>
        <w:t xml:space="preserve"> determinadas substancias de efecto hormonal e </w:t>
      </w:r>
      <w:proofErr w:type="spellStart"/>
      <w:r>
        <w:rPr>
          <w:rFonts w:ascii="Xunta Sans" w:hAnsi="Xunta Sans"/>
          <w:sz w:val="22"/>
          <w:szCs w:val="22"/>
        </w:rPr>
        <w:t>tireostático</w:t>
      </w:r>
      <w:proofErr w:type="spellEnd"/>
      <w:r>
        <w:rPr>
          <w:rFonts w:ascii="Xunta Sans" w:hAnsi="Xunta Sans"/>
          <w:sz w:val="22"/>
          <w:szCs w:val="22"/>
        </w:rPr>
        <w:t xml:space="preserve"> e substancias beta-</w:t>
      </w:r>
      <w:proofErr w:type="spellStart"/>
      <w:r>
        <w:rPr>
          <w:rFonts w:ascii="Xunta Sans" w:hAnsi="Xunta Sans"/>
          <w:sz w:val="22"/>
          <w:szCs w:val="22"/>
        </w:rPr>
        <w:t>agonistas</w:t>
      </w:r>
      <w:proofErr w:type="spellEnd"/>
      <w:r>
        <w:rPr>
          <w:rFonts w:ascii="Xunta Sans" w:hAnsi="Xunta Sans"/>
          <w:sz w:val="22"/>
          <w:szCs w:val="22"/>
        </w:rPr>
        <w:t xml:space="preserve"> de uso na cría do gando..</w:t>
      </w:r>
      <w:r w:rsidR="006A4706">
        <w:rPr>
          <w:rFonts w:ascii="Xunta Sans" w:hAnsi="Xunta Sans"/>
          <w:sz w:val="22"/>
          <w:szCs w:val="22"/>
        </w:rPr>
        <w:t xml:space="preserve"> </w:t>
      </w:r>
      <w:r w:rsidR="006A4706" w:rsidRPr="002D48C4">
        <w:rPr>
          <w:rFonts w:ascii="Xunta Sans" w:hAnsi="Xunta Sans"/>
          <w:sz w:val="22"/>
          <w:szCs w:val="22"/>
        </w:rPr>
        <w:t>O</w:t>
      </w:r>
      <w:r w:rsidR="006A4706">
        <w:rPr>
          <w:rFonts w:ascii="Xunta Sans" w:hAnsi="Xunta Sans"/>
          <w:sz w:val="22"/>
          <w:szCs w:val="22"/>
        </w:rPr>
        <w:t xml:space="preserve"> </w:t>
      </w:r>
      <w:r w:rsidR="006A4706" w:rsidRPr="002D48C4">
        <w:rPr>
          <w:rFonts w:ascii="Xunta Sans" w:hAnsi="Xunta Sans"/>
          <w:sz w:val="22"/>
          <w:szCs w:val="22"/>
        </w:rPr>
        <w:t xml:space="preserve">Regulamento Delegado (UE) 2019/2090 da Comisión do 19 de xuño de 2019 que complementa ao Regulamento (UE) 2017/625 do Parlamento Europeo e do Consello no que respecta a os casos de sospeita ou constatación de incumprimento das normas da Unión aplicables ao uso de substancias </w:t>
      </w:r>
      <w:proofErr w:type="spellStart"/>
      <w:r w:rsidR="006A4706" w:rsidRPr="002D48C4">
        <w:rPr>
          <w:rFonts w:ascii="Xunta Sans" w:hAnsi="Xunta Sans"/>
          <w:sz w:val="22"/>
          <w:szCs w:val="22"/>
        </w:rPr>
        <w:t>farmacológicamente</w:t>
      </w:r>
      <w:proofErr w:type="spellEnd"/>
      <w:r w:rsidR="006A4706" w:rsidRPr="002D48C4">
        <w:rPr>
          <w:rFonts w:ascii="Xunta Sans" w:hAnsi="Xunta Sans"/>
          <w:sz w:val="22"/>
          <w:szCs w:val="22"/>
        </w:rPr>
        <w:t xml:space="preserve"> activas autorizadas ou os seus residuos en medicamentos veterinarios ou como aditivos de pensos ou das normas da Unión aplicables ao uso de substancias </w:t>
      </w:r>
      <w:proofErr w:type="spellStart"/>
      <w:r w:rsidR="006A4706" w:rsidRPr="002D48C4">
        <w:rPr>
          <w:rFonts w:ascii="Xunta Sans" w:hAnsi="Xunta Sans"/>
          <w:sz w:val="22"/>
          <w:szCs w:val="22"/>
        </w:rPr>
        <w:t>farmacológicamente</w:t>
      </w:r>
      <w:proofErr w:type="spellEnd"/>
      <w:r w:rsidR="006A4706" w:rsidRPr="002D48C4">
        <w:rPr>
          <w:rFonts w:ascii="Xunta Sans" w:hAnsi="Xunta Sans"/>
          <w:sz w:val="22"/>
          <w:szCs w:val="22"/>
        </w:rPr>
        <w:t xml:space="preserve"> activas non autorizadas ou prohibidas ou os seus residuos</w:t>
      </w:r>
    </w:p>
    <w:p w14:paraId="07515B04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33. O Regulamento (CE) nº 1069/2009, subprodutos animais e produtos derivados non destinados ao consumo humano: disposicións xerais. Obrigas xerais dos explotadores. </w:t>
      </w:r>
    </w:p>
    <w:p w14:paraId="571D69B7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34. O Regulamento (UE) nº 142/2011, subprodutos animais e produtos derivados non destinados ao consumo humano: recollida, transporte e </w:t>
      </w:r>
      <w:proofErr w:type="spellStart"/>
      <w:r>
        <w:rPr>
          <w:rFonts w:ascii="Xunta Sans" w:hAnsi="Xunta Sans"/>
          <w:sz w:val="22"/>
          <w:szCs w:val="22"/>
        </w:rPr>
        <w:t>rastrexabilidade</w:t>
      </w:r>
      <w:proofErr w:type="spellEnd"/>
      <w:r>
        <w:rPr>
          <w:rFonts w:ascii="Xunta Sans" w:hAnsi="Xunta Sans"/>
          <w:sz w:val="22"/>
          <w:szCs w:val="22"/>
        </w:rPr>
        <w:t>. Materias primas para alimentación animal</w:t>
      </w:r>
      <w:r w:rsidR="006A4706">
        <w:rPr>
          <w:rFonts w:ascii="Xunta Sans" w:hAnsi="Xunta Sans"/>
          <w:sz w:val="22"/>
          <w:szCs w:val="22"/>
        </w:rPr>
        <w:t xml:space="preserve"> (anexo X)</w:t>
      </w:r>
      <w:r>
        <w:rPr>
          <w:rFonts w:ascii="Xunta Sans" w:hAnsi="Xunta Sans"/>
          <w:sz w:val="22"/>
          <w:szCs w:val="22"/>
        </w:rPr>
        <w:t>. O Real decreto 1528/2012, do 8 de novembro, polo que se establecen as normas aplicables aos subprodutos animais e aos produtos derivados non destinados ao consumo humano: recollida, transporte e identificación, documento comercial e certificado sanitario, rexistro e autorización.</w:t>
      </w:r>
    </w:p>
    <w:p w14:paraId="1E6D7357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35. O Regulamento (CE) nº 183/2005 sobre requisitos en materia de hixiene dos pensos. O Real decreto 629/2019, do 31 de outubro, polo que se regula o Rexistro Xeral de Establecementos no Sector da Alimentación Animal, as condicións de autorización ou rexistro dos ditos establecementos e dos puntos de entrada nacionais, a actividade dos operadores de pensos, e a Comisión nacional de coordinación en materia de alimentación animal</w:t>
      </w:r>
      <w:r w:rsidR="006A4706">
        <w:rPr>
          <w:rFonts w:ascii="Xunta Sans" w:hAnsi="Xunta Sans"/>
          <w:sz w:val="22"/>
          <w:szCs w:val="22"/>
        </w:rPr>
        <w:t xml:space="preserve"> (articulados e anexos I e II)</w:t>
      </w:r>
      <w:r>
        <w:rPr>
          <w:rFonts w:ascii="Xunta Sans" w:hAnsi="Xunta Sans"/>
          <w:sz w:val="22"/>
          <w:szCs w:val="22"/>
        </w:rPr>
        <w:t xml:space="preserve">. </w:t>
      </w:r>
    </w:p>
    <w:p w14:paraId="67EE8C9F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36. O Regulamento (CE) nº 767/2009 sobre a comercialización e a utilización dos pensos: disposicións preliminares, requisitos xerais, comercialización de tipos específicos de pensos, etiquetaxe, presentación e envasado, e catálogo comunitario de materias primas para pensos e códigos comunitarios de boas prácticas de etiquetaxe</w:t>
      </w:r>
      <w:r w:rsidR="006A4706">
        <w:rPr>
          <w:rFonts w:ascii="Xunta Sans" w:hAnsi="Xunta Sans"/>
          <w:sz w:val="22"/>
          <w:szCs w:val="22"/>
        </w:rPr>
        <w:t xml:space="preserve"> e o seu anexo III</w:t>
      </w:r>
      <w:r>
        <w:rPr>
          <w:rFonts w:ascii="Xunta Sans" w:hAnsi="Xunta Sans"/>
          <w:sz w:val="22"/>
          <w:szCs w:val="22"/>
        </w:rPr>
        <w:t xml:space="preserve">. </w:t>
      </w:r>
    </w:p>
    <w:p w14:paraId="45959C8F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37. O Regulamento (UE) 2019/4, relativo á fabricación, a comercialización e o uso de pensos medicamentosos</w:t>
      </w:r>
      <w:r w:rsidR="006A4706">
        <w:rPr>
          <w:rFonts w:ascii="Xunta Sans" w:hAnsi="Xunta Sans"/>
          <w:sz w:val="22"/>
          <w:szCs w:val="22"/>
        </w:rPr>
        <w:t>: articulado e anexos I, III e V</w:t>
      </w:r>
      <w:r>
        <w:rPr>
          <w:rFonts w:ascii="Xunta Sans" w:hAnsi="Xunta Sans"/>
          <w:sz w:val="22"/>
          <w:szCs w:val="22"/>
        </w:rPr>
        <w:t xml:space="preserve">. O Regulamento (CE) nº </w:t>
      </w:r>
      <w:r>
        <w:rPr>
          <w:rFonts w:ascii="Xunta Sans" w:hAnsi="Xunta Sans"/>
          <w:sz w:val="22"/>
          <w:szCs w:val="22"/>
        </w:rPr>
        <w:lastRenderedPageBreak/>
        <w:t>1831/2003 sobre os aditivos na alimentación animal: ámbito de aplicación e definicións; etiquetaxe e envasado</w:t>
      </w:r>
      <w:r w:rsidR="006A4706">
        <w:rPr>
          <w:rFonts w:ascii="Xunta Sans" w:hAnsi="Xunta Sans"/>
          <w:sz w:val="22"/>
          <w:szCs w:val="22"/>
        </w:rPr>
        <w:t xml:space="preserve"> e o seu anexo I</w:t>
      </w:r>
      <w:r>
        <w:rPr>
          <w:rFonts w:ascii="Xunta Sans" w:hAnsi="Xunta Sans"/>
          <w:sz w:val="22"/>
          <w:szCs w:val="22"/>
        </w:rPr>
        <w:t xml:space="preserve">. </w:t>
      </w:r>
    </w:p>
    <w:p w14:paraId="17A3E9E7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38. A normativa estatal pola que se regula o control oficial do rendemento leiteiro para a avaliación xenética nas especies bovina, ovina e cabrúa. </w:t>
      </w:r>
    </w:p>
    <w:p w14:paraId="0650EF21" w14:textId="755E1EB7" w:rsidR="006A4706" w:rsidRPr="002D48C4" w:rsidRDefault="007B3737" w:rsidP="006A4706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39. </w:t>
      </w:r>
      <w:r w:rsidR="006A4706" w:rsidRPr="002D48C4">
        <w:rPr>
          <w:rFonts w:ascii="Xunta Sans" w:hAnsi="Xunta Sans"/>
          <w:sz w:val="22"/>
          <w:szCs w:val="22"/>
        </w:rPr>
        <w:t xml:space="preserve">A normativa estatal pola que se establecen as condicións básicas para a comercialización dos produtos reprodutivos das especies gandeiras no ámbito nacional e se regulan medidas para a aplicación da normativa europea aplicable aos desprazamentos dentro da Unión Europea de produtos reprodutivos das especies gandeiras. </w:t>
      </w:r>
    </w:p>
    <w:p w14:paraId="16FB73C8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40. A normativa estatal pola que se establecen as normas zootécnicas aplicables aos animais reprodutores de raza pura, porcinos reprodutores híbridos e o seu material reprodutivo, e se actualiza o Programa nacional de conservación, mellora e fomento das razas gandeiras.</w:t>
      </w:r>
    </w:p>
    <w:p w14:paraId="47958FE8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41. A Lei 32/2007 para o coidado dos animais na súa explotación, transporte, experimentación e sacrificio. A normativa estatal relativa á protección dos animais nas explotacións gandeiras. </w:t>
      </w:r>
    </w:p>
    <w:p w14:paraId="4FBE7F5D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42. A normativa estatal relativa ás normas mínimas para a protección de tenreiros. A normativa estatal relativa ás normas mínimas para a protección de porcos. </w:t>
      </w:r>
    </w:p>
    <w:p w14:paraId="5A28E295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43. O Regulamento (CE) nº 1/2005, relativo á protección dos animais durante o transporte e as operacións conexas: ámbito de aplicación, definicións e condicións xerais aplicables ao transporte de animais. Organizadores, transportistas, posuidores e centros de concentración. Deberes e obrigas das autoridades competentes. Aplicación do regulamento e intercambio de información. Especificacións técnicas do regulamento: aptitude para o transporte. Medios de transporte. Prácticas de transporte. Intervalos de subministración de auga, de alimentación e tempo de viaxe e de descanso. Disposicións complementarias para as viaxes longas de équidos domésticos e animais domésticos das especies bovina, ovina, cabrúa e porcina. Aspectos xerais do caderno de a bordo ou folla de ruta. </w:t>
      </w:r>
    </w:p>
    <w:p w14:paraId="6D895920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44. O Regulamento (CE) nº 1099/2009, relativo á protección dos animais no momento da matanza. </w:t>
      </w:r>
    </w:p>
    <w:p w14:paraId="492D0926" w14:textId="36CD4AD1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45. Lei 4/2017, de protección e benestar dos animais de compañía en Galicia: títulos preliminar, I a VII</w:t>
      </w:r>
    </w:p>
    <w:p w14:paraId="5FC4DFA1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lastRenderedPageBreak/>
        <w:t xml:space="preserve">46. A Lei 50/1999 sobre o réxime xurídico da tenza de animais potencialmente perigosos. A regulación da tenza de animais potencialmente perigosos, do Rexistro Galego de Identificación de Animais de Compañía e de Animais Potencialmente Perigosos e do adestramento de animais potencialmente perigosos na Comunidade Autónoma de Galicia. </w:t>
      </w:r>
    </w:p>
    <w:p w14:paraId="1EC401C0" w14:textId="77777777" w:rsidR="007B3737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46 bis. A Lei 31/2003, do 27 de novembro, de conservación da fauna silvestre nos parques zoolóxicos.</w:t>
      </w:r>
    </w:p>
    <w:p w14:paraId="6083E98E" w14:textId="4DC938E2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47. Información alimentaria facilitada ao consumidor: o Regulamento (UE) nº 1169/2011 sobre a </w:t>
      </w:r>
      <w:r w:rsidRPr="009535D1">
        <w:rPr>
          <w:rFonts w:ascii="Xunta Sans" w:hAnsi="Xunta Sans"/>
          <w:sz w:val="22"/>
          <w:szCs w:val="22"/>
        </w:rPr>
        <w:t xml:space="preserve">información alimentaria facilitada ao consumidor: agás os anexos IV e do XIII ao XV. </w:t>
      </w:r>
      <w:r w:rsidRPr="002D48C4">
        <w:rPr>
          <w:rFonts w:ascii="Xunta Sans" w:hAnsi="Xunta Sans"/>
          <w:sz w:val="22"/>
          <w:szCs w:val="22"/>
        </w:rPr>
        <w:t>O Regulamento (UE) nº 1924/2006 relativo ás declaracións nutricionais e de propiedades saudables nos alimentos</w:t>
      </w:r>
      <w:r w:rsidRPr="009535D1">
        <w:rPr>
          <w:rFonts w:ascii="Xunta Sans" w:hAnsi="Xunta Sans"/>
          <w:sz w:val="22"/>
          <w:szCs w:val="22"/>
        </w:rPr>
        <w:t>. O Real decreto 126/2015, de 27 de febreiro, polo que se aproba a norma xeral relativa á información alimentaria dos alimentos que se presenten sen envasar para a venda ao consumidor</w:t>
      </w:r>
      <w:r>
        <w:rPr>
          <w:rFonts w:ascii="Xunta Sans" w:hAnsi="Xunta Sans"/>
          <w:sz w:val="22"/>
          <w:szCs w:val="22"/>
        </w:rPr>
        <w:t xml:space="preserve"> final e ás colectividades, dos envasados nos lugares de venda por petición do comprador, e dos envasados polos titulares do comercio polo miúdo. Real decreto 1334/1999, do 31 de xullo, polo que se aproba a Norma xeral de etiquetaxe, presentación e publicidade dos produtos alimenticios. Real decreto 1808/1991, polo que se regula a identificación do lote a que pertence un produto alimenticio.</w:t>
      </w:r>
    </w:p>
    <w:p w14:paraId="3FA3DF60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48. O Regulamento (UE) nº 1380/2013 sobre a política pesqueira común: da parte I Disposicións xerais. Da parte III o título I «Medidas de conservación» e título II «Medidas específicas». Da parte VII «Acuicultura». Da parte IX «Control e execución», agás os anexos. Regulación dos tamaños mínimos de diversos produtos pesqueiros na Comunidade Autónoma de Galicia. </w:t>
      </w:r>
    </w:p>
    <w:p w14:paraId="0CBD4A35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49. O Regulamento (CE) nº 1224/2009 polo que se establece un réxime comunitario de control para garantir o cumprimento das normas da política pesqueira común: disposicións xerais. Principios xerais. Control da comercialización. O Regulamento (UE) nº 404/2011 que establece as normas de desenvolvemento do Regulamento (CE) nº 1224/2009: o control de comercialización. </w:t>
      </w:r>
    </w:p>
    <w:p w14:paraId="54D48F0C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50. A Lei 11/2008, de pesca de Galicia: conservación e xestión dos recursos pesqueiros e marisqueiros. Comercialización, transformación e promoción dos produtos da pesca, o marisqueo e a acuicultura. Réxime sancionador. </w:t>
      </w:r>
    </w:p>
    <w:p w14:paraId="7980973F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lastRenderedPageBreak/>
        <w:t xml:space="preserve">51. O Regulamento (UE) nº 1379/2013 polo que se establece a organización común de mercados no sector dos produtos da pesca e da acuicultura: disposicións xerais. Normas comúns de comercialización. Información do consumidor. </w:t>
      </w:r>
    </w:p>
    <w:p w14:paraId="55374E90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52. Normativa vixente sobre descarga, primeira venda e comercialización dos recursos mariños en fresco en Galicia e en España. O sistema de transmisión de datos na fase de primeira venda da pesca fresca en Galicia. O control da descarga e do transporte dos produtos pesqueiros frescos ata a fase de primeira venda e o transporte de moluscos bivalvos, equinodermos, tunicados e gasterópodos mariños vivos en Galicia. A regulación da descarga, transporte e primeira venda dos produtos pesqueiros e acuícolas dos cales non sexa obrigada a súa primeira venda en lonxa en Galicia. </w:t>
      </w:r>
    </w:p>
    <w:p w14:paraId="45CDBBC2" w14:textId="77777777" w:rsidR="00E946F5" w:rsidRDefault="007B3737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53. Requisitos </w:t>
      </w:r>
      <w:proofErr w:type="spellStart"/>
      <w:r>
        <w:rPr>
          <w:rFonts w:ascii="Xunta Sans" w:hAnsi="Xunta Sans"/>
          <w:sz w:val="22"/>
          <w:szCs w:val="22"/>
        </w:rPr>
        <w:t>zoosanitarios</w:t>
      </w:r>
      <w:proofErr w:type="spellEnd"/>
      <w:r>
        <w:rPr>
          <w:rFonts w:ascii="Xunta Sans" w:hAnsi="Xunta Sans"/>
          <w:sz w:val="22"/>
          <w:szCs w:val="22"/>
        </w:rPr>
        <w:t xml:space="preserve"> dos animais e dos produtos da acuicultura, e prevención e control de determinadas enfermidades dos animais acuáticos: disposicións xerais. Explotacións de acuicultura e establecementos de transformación autorizados. Requisitos </w:t>
      </w:r>
      <w:proofErr w:type="spellStart"/>
      <w:r>
        <w:rPr>
          <w:rFonts w:ascii="Xunta Sans" w:hAnsi="Xunta Sans"/>
          <w:sz w:val="22"/>
          <w:szCs w:val="22"/>
        </w:rPr>
        <w:t>zoosanitarios</w:t>
      </w:r>
      <w:proofErr w:type="spellEnd"/>
      <w:r>
        <w:rPr>
          <w:rFonts w:ascii="Xunta Sans" w:hAnsi="Xunta Sans"/>
          <w:sz w:val="22"/>
          <w:szCs w:val="22"/>
        </w:rPr>
        <w:t xml:space="preserve"> para a posta no mercado de animais e produtos da acuicultura. Notificación e medidas mínimas para o control de enfermidades. O Regulamento 1251/2008 polo que se aplica a Directiva 2006/88/CE no referente ás condicións e aos requisitos de certificación para a comercialización e a importación na Comunidade de animais da acuicultura e produtos derivados e se establece unha lista de especies portadoras: agás os anexos.</w:t>
      </w:r>
    </w:p>
    <w:p w14:paraId="00A8EC54" w14:textId="77777777" w:rsidR="00E946F5" w:rsidRDefault="00E946F5"/>
    <w:sectPr w:rsidR="00E946F5"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Xunta Sans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6F5"/>
    <w:rsid w:val="002D48C4"/>
    <w:rsid w:val="003E3BF8"/>
    <w:rsid w:val="00446059"/>
    <w:rsid w:val="006A4706"/>
    <w:rsid w:val="007B3737"/>
    <w:rsid w:val="009535D1"/>
    <w:rsid w:val="00E946F5"/>
    <w:rsid w:val="00E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DBE78"/>
  <w15:docId w15:val="{B8F618FC-A156-4EAB-972F-9A77E6EE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character" w:customStyle="1" w:styleId="Numeracindelias">
    <w:name w:val="Numeración de liñas"/>
  </w:style>
  <w:style w:type="paragraph" w:styleId="Ttulo">
    <w:name w:val="Title"/>
    <w:basedOn w:val="Normal"/>
    <w:next w:val="Textodocorp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xtodocorpo">
    <w:name w:val="Body Text"/>
    <w:basedOn w:val="Normal"/>
    <w:pPr>
      <w:spacing w:after="140" w:line="276" w:lineRule="auto"/>
    </w:pPr>
  </w:style>
  <w:style w:type="paragraph" w:styleId="Lista">
    <w:name w:val="List"/>
    <w:basedOn w:val="Textodocorpo"/>
    <w:rPr>
      <w:rFonts w:cs="Arial Unicode MS"/>
    </w:rPr>
  </w:style>
  <w:style w:type="paragraph" w:styleId="Lend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 Unicode MS"/>
    </w:rPr>
  </w:style>
  <w:style w:type="paragraph" w:customStyle="1" w:styleId="Standard">
    <w:name w:val="Standard"/>
    <w:qFormat/>
    <w:rsid w:val="00257201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  <w:style w:type="paragraph" w:styleId="Textodecomentario">
    <w:name w:val="annotation text"/>
    <w:basedOn w:val="Normal"/>
    <w:link w:val="TextodecomentarioCar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arioCarc">
    <w:name w:val="Texto de comentario Carác."/>
    <w:basedOn w:val="Tipodeletrapredefinidodopargrafo"/>
    <w:link w:val="Textodecomentario"/>
    <w:uiPriority w:val="99"/>
    <w:semiHidden/>
    <w:rPr>
      <w:sz w:val="20"/>
      <w:szCs w:val="20"/>
    </w:rPr>
  </w:style>
  <w:style w:type="character" w:styleId="Referenciadecomentario">
    <w:name w:val="annotation reference"/>
    <w:basedOn w:val="Tipodeletrapredefinidodopargrafo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c"/>
    <w:uiPriority w:val="99"/>
    <w:semiHidden/>
    <w:unhideWhenUsed/>
    <w:rsid w:val="00EA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c">
    <w:name w:val="Texto de globo Carác."/>
    <w:basedOn w:val="Tipodeletrapredefinidodopargrafo"/>
    <w:link w:val="Textodeglobo"/>
    <w:uiPriority w:val="99"/>
    <w:semiHidden/>
    <w:rsid w:val="00EA20E6"/>
    <w:rPr>
      <w:rFonts w:ascii="Segoe UI" w:hAnsi="Segoe UI" w:cs="Segoe UI"/>
      <w:sz w:val="18"/>
      <w:szCs w:val="18"/>
    </w:rPr>
  </w:style>
  <w:style w:type="paragraph" w:styleId="Asuntodocomentario">
    <w:name w:val="annotation subject"/>
    <w:basedOn w:val="Textodecomentario"/>
    <w:next w:val="Textodecomentario"/>
    <w:link w:val="AsuntodocomentarioCarc"/>
    <w:uiPriority w:val="99"/>
    <w:semiHidden/>
    <w:unhideWhenUsed/>
    <w:rsid w:val="006A4706"/>
    <w:rPr>
      <w:b/>
      <w:bCs/>
    </w:rPr>
  </w:style>
  <w:style w:type="character" w:customStyle="1" w:styleId="AsuntodocomentarioCarc">
    <w:name w:val="Asunto do comentario Carác."/>
    <w:basedOn w:val="TextodecomentarioCarc"/>
    <w:link w:val="Asuntodocomentario"/>
    <w:uiPriority w:val="99"/>
    <w:semiHidden/>
    <w:rsid w:val="006A470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535D1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2997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19447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dc:description/>
  <cp:lastModifiedBy>Pérez Santos, María Uxía</cp:lastModifiedBy>
  <cp:revision>5</cp:revision>
  <cp:lastPrinted>2022-11-09T19:21:00Z</cp:lastPrinted>
  <dcterms:created xsi:type="dcterms:W3CDTF">2022-11-11T13:17:00Z</dcterms:created>
  <dcterms:modified xsi:type="dcterms:W3CDTF">2022-11-11T14:47:00Z</dcterms:modified>
  <dc:language>es-ES</dc:language>
</cp:coreProperties>
</file>